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Plan: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Grades and Contents: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Topic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Enduring Understanding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Primary Standards/Indicators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Secondary Standards/Indicators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Academic Language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Objective/Language Function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Plan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Pre-Assessment- </w:t>
      </w:r>
    </w:p>
    <w:p w:rsidR="00000000" w:rsidDel="00000000" w:rsidP="00000000" w:rsidRDefault="00000000" w:rsidRPr="00000000" w14:paraId="00000014">
      <w:pPr>
        <w:numPr>
          <w:ilvl w:val="1"/>
          <w:numId w:val="10"/>
        </w:numPr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Post-Assessment-</w:t>
      </w:r>
    </w:p>
    <w:p w:rsidR="00000000" w:rsidDel="00000000" w:rsidP="00000000" w:rsidRDefault="00000000" w:rsidRPr="00000000" w14:paraId="00000016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Criteria for Mastery-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Materials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Teacher Preparation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Meat of Lesson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Hook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Brainstorm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Prototype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Share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Synthesize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Supports for Student Learning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Accommodations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ELs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Grade Level adaptations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Advanced students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Additional supports</w:t>
      </w:r>
      <w:r w:rsidDel="00000000" w:rsidR="00000000" w:rsidRPr="00000000">
        <w:rPr>
          <w:rtl w:val="0"/>
        </w:rPr>
        <w:t xml:space="preserve">- As needed.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Discussion Guides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Hook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Synthesis-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More to Explore (Resources)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